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49" w:rsidRDefault="00540749" w:rsidP="00B9268B">
      <w:pPr>
        <w:jc w:val="both"/>
        <w:rPr>
          <w:rFonts w:eastAsia="MS Mincho"/>
          <w:b/>
          <w:bCs/>
          <w:lang w:val="en-US" w:eastAsia="ja-JP"/>
        </w:rPr>
      </w:pPr>
      <w:r>
        <w:rPr>
          <w:rFonts w:eastAsia="MS Mincho" w:hint="eastAsia"/>
          <w:b/>
          <w:bCs/>
          <w:lang w:val="en-US" w:eastAsia="ja-JP"/>
        </w:rPr>
        <w:t>Brief on Asset Monetization of Roads in India:</w:t>
      </w:r>
    </w:p>
    <w:p w:rsidR="00540749" w:rsidRDefault="00540749" w:rsidP="00B9268B">
      <w:pPr>
        <w:jc w:val="both"/>
        <w:rPr>
          <w:rFonts w:eastAsia="MS Mincho"/>
          <w:b/>
          <w:bCs/>
          <w:lang w:val="en-US" w:eastAsia="ja-JP"/>
        </w:rPr>
      </w:pPr>
    </w:p>
    <w:p w:rsidR="00225580" w:rsidRPr="00C36377" w:rsidRDefault="00225580" w:rsidP="00B9268B">
      <w:pPr>
        <w:jc w:val="both"/>
        <w:rPr>
          <w:lang w:val="en-US"/>
        </w:rPr>
      </w:pPr>
      <w:r w:rsidRPr="00C36377">
        <w:rPr>
          <w:lang w:val="en-US"/>
        </w:rPr>
        <w:t>Hon’ble Finance Minister of India announced “National Monetization Pipeline” in August 2021, laying down the plan and strategy to monetize assets worth USD 82 Billion over next four years</w:t>
      </w:r>
      <w:r w:rsidR="00E13B2D" w:rsidRPr="00C36377">
        <w:rPr>
          <w:lang w:val="en-US"/>
        </w:rPr>
        <w:t xml:space="preserve">, out of which the share of road sector is USD 21 Billion </w:t>
      </w:r>
      <w:r w:rsidR="003D766F" w:rsidRPr="00C36377">
        <w:rPr>
          <w:lang w:val="en-US"/>
        </w:rPr>
        <w:t>i.e.,</w:t>
      </w:r>
      <w:r w:rsidR="00E13B2D" w:rsidRPr="00C36377">
        <w:rPr>
          <w:lang w:val="en-US"/>
        </w:rPr>
        <w:t xml:space="preserve"> 27%</w:t>
      </w:r>
      <w:r w:rsidR="00D73965" w:rsidRPr="00C36377">
        <w:rPr>
          <w:lang w:val="en-US"/>
        </w:rPr>
        <w:t xml:space="preserve"> from monetization of 26,700 kms of roads.</w:t>
      </w:r>
      <w:r w:rsidR="00C24832" w:rsidRPr="00C36377">
        <w:rPr>
          <w:lang w:val="en-US"/>
        </w:rPr>
        <w:t xml:space="preserve"> National Highway Authority of India</w:t>
      </w:r>
      <w:r w:rsidR="003D766F" w:rsidRPr="00C36377">
        <w:rPr>
          <w:lang w:val="en-US"/>
        </w:rPr>
        <w:t xml:space="preserve"> (NHAI)</w:t>
      </w:r>
      <w:r w:rsidR="00C24832" w:rsidRPr="00C36377">
        <w:rPr>
          <w:lang w:val="en-US"/>
        </w:rPr>
        <w:t>, the national agency responsible for development of roads &amp; highways in India is also entrusted with the monetization of road sector.</w:t>
      </w:r>
    </w:p>
    <w:p w:rsidR="00C24832" w:rsidRPr="00C36377" w:rsidRDefault="00C24832" w:rsidP="00B9268B">
      <w:pPr>
        <w:jc w:val="both"/>
        <w:rPr>
          <w:lang w:val="en-US"/>
        </w:rPr>
      </w:pPr>
    </w:p>
    <w:p w:rsidR="006074B7" w:rsidRPr="00C36377" w:rsidRDefault="00C24832" w:rsidP="00B9268B">
      <w:pPr>
        <w:jc w:val="both"/>
      </w:pPr>
      <w:r w:rsidRPr="00C36377">
        <w:t xml:space="preserve">Domestic </w:t>
      </w:r>
      <w:r w:rsidR="003D766F" w:rsidRPr="00C36377">
        <w:t>c</w:t>
      </w:r>
      <w:r w:rsidRPr="00C36377">
        <w:t xml:space="preserve">redit </w:t>
      </w:r>
      <w:r w:rsidR="003D766F" w:rsidRPr="00C36377">
        <w:t>r</w:t>
      </w:r>
      <w:r w:rsidR="009E07DB">
        <w:t xml:space="preserve">ating of NHAI is </w:t>
      </w:r>
      <w:r w:rsidRPr="00C36377">
        <w:t xml:space="preserve">AAA by </w:t>
      </w:r>
      <w:r w:rsidR="003D766F" w:rsidRPr="00C36377">
        <w:t xml:space="preserve">all domestic rating agencies </w:t>
      </w:r>
      <w:r w:rsidRPr="00C36377">
        <w:t xml:space="preserve">and its </w:t>
      </w:r>
      <w:r w:rsidR="003D766F" w:rsidRPr="00C36377">
        <w:t>international c</w:t>
      </w:r>
      <w:r w:rsidRPr="00C36377">
        <w:t xml:space="preserve">redit </w:t>
      </w:r>
      <w:r w:rsidR="003D766F" w:rsidRPr="00C36377">
        <w:t>r</w:t>
      </w:r>
      <w:r w:rsidRPr="00C36377">
        <w:t xml:space="preserve">ating is Baa2 by Moody’s and BBB – by S&amp;P which is at par with Sovereign Rating. </w:t>
      </w:r>
    </w:p>
    <w:p w:rsidR="000E7B1C" w:rsidRPr="00540749" w:rsidRDefault="000E7B1C" w:rsidP="00B9268B">
      <w:pPr>
        <w:jc w:val="both"/>
        <w:rPr>
          <w:rFonts w:eastAsia="MS Mincho"/>
          <w:lang w:eastAsia="ja-JP"/>
        </w:rPr>
      </w:pPr>
    </w:p>
    <w:p w:rsidR="00B9268B" w:rsidRDefault="00B9268B" w:rsidP="00B9268B">
      <w:pPr>
        <w:jc w:val="both"/>
        <w:rPr>
          <w:rFonts w:eastAsia="MS Mincho"/>
          <w:lang w:eastAsia="ja-JP"/>
        </w:rPr>
      </w:pPr>
      <w:r w:rsidRPr="00C36377">
        <w:t xml:space="preserve">NHAI has </w:t>
      </w:r>
      <w:r w:rsidR="003D766F" w:rsidRPr="00C36377">
        <w:t xml:space="preserve">a portfolio </w:t>
      </w:r>
      <w:r w:rsidRPr="00C36377">
        <w:t>of over 6,500 km of roads identified for monetization, out of this 1,600 km of roads ready for bidding in FY 22 through T</w:t>
      </w:r>
      <w:r w:rsidR="005B6809" w:rsidRPr="00C36377">
        <w:t xml:space="preserve">oll </w:t>
      </w:r>
      <w:r w:rsidRPr="00C36377">
        <w:t>O</w:t>
      </w:r>
      <w:r w:rsidR="005B6809" w:rsidRPr="00C36377">
        <w:t xml:space="preserve">perate </w:t>
      </w:r>
      <w:r w:rsidRPr="00C36377">
        <w:t>T</w:t>
      </w:r>
      <w:r w:rsidR="005B6809" w:rsidRPr="00C36377">
        <w:t>ransfer (TOT)</w:t>
      </w:r>
      <w:r w:rsidRPr="00C36377">
        <w:t xml:space="preserve"> and I</w:t>
      </w:r>
      <w:r w:rsidR="005B6809" w:rsidRPr="00C36377">
        <w:t>nfrastructure I</w:t>
      </w:r>
      <w:r w:rsidRPr="00C36377">
        <w:t>nv</w:t>
      </w:r>
      <w:r w:rsidR="005B6809" w:rsidRPr="00C36377">
        <w:t xml:space="preserve">estment </w:t>
      </w:r>
      <w:r w:rsidRPr="00C36377">
        <w:t>T</w:t>
      </w:r>
      <w:r w:rsidR="005B6809" w:rsidRPr="00C36377">
        <w:t>rust (InvIT)</w:t>
      </w:r>
      <w:r w:rsidRPr="00C36377">
        <w:t xml:space="preserve">. </w:t>
      </w:r>
    </w:p>
    <w:p w:rsidR="009F3BC0" w:rsidRPr="00540749" w:rsidRDefault="009F3BC0" w:rsidP="00821D26">
      <w:pPr>
        <w:jc w:val="both"/>
        <w:rPr>
          <w:rFonts w:eastAsia="MS Mincho"/>
          <w:lang w:eastAsia="ja-JP"/>
        </w:rPr>
      </w:pPr>
    </w:p>
    <w:p w:rsidR="00C36377" w:rsidRPr="00C36377" w:rsidRDefault="009F3BC0" w:rsidP="00C36377">
      <w:pPr>
        <w:jc w:val="both"/>
      </w:pPr>
      <w:r w:rsidRPr="00C36377">
        <w:t xml:space="preserve">Roads are </w:t>
      </w:r>
      <w:r w:rsidR="003D766F" w:rsidRPr="00C36377">
        <w:t xml:space="preserve">an </w:t>
      </w:r>
      <w:r w:rsidRPr="00C36377">
        <w:t xml:space="preserve">important asset class in India since </w:t>
      </w:r>
      <w:r w:rsidR="00BA1A20" w:rsidRPr="00C36377">
        <w:t xml:space="preserve">there is a high correlation between GDP and road transport and </w:t>
      </w:r>
      <w:r w:rsidR="003D766F" w:rsidRPr="00C36377">
        <w:t xml:space="preserve">highways </w:t>
      </w:r>
      <w:r w:rsidR="00BA1A20" w:rsidRPr="00C36377">
        <w:t xml:space="preserve">account for 60% of freight traffic movement in the country. Participation in early stage </w:t>
      </w:r>
      <w:r w:rsidR="003D766F" w:rsidRPr="00C36377">
        <w:t xml:space="preserve">of the InvIt program </w:t>
      </w:r>
      <w:r w:rsidR="00BA1A20" w:rsidRPr="00C36377">
        <w:t xml:space="preserve">is beneficial since it is </w:t>
      </w:r>
      <w:r w:rsidR="003D766F" w:rsidRPr="00C36377">
        <w:t xml:space="preserve">an </w:t>
      </w:r>
      <w:r w:rsidR="00BA1A20" w:rsidRPr="00C36377">
        <w:t>entirely diligent portfolio (Technical Reports, Traffic Reports, Credit Rating from reputed 3rd party con</w:t>
      </w:r>
      <w:r w:rsidR="00540749">
        <w:t xml:space="preserve">sultants available). There are </w:t>
      </w:r>
      <w:r w:rsidR="00BA1A20" w:rsidRPr="00C36377">
        <w:t>best terms available in the initial offer and it is  being offered to only select Investors globally.</w:t>
      </w:r>
      <w:r w:rsidR="006573CB" w:rsidRPr="00C36377">
        <w:t xml:space="preserve"> </w:t>
      </w:r>
    </w:p>
    <w:p w:rsidR="00B9268B" w:rsidRPr="00B9268B" w:rsidRDefault="00821D26" w:rsidP="00C36377">
      <w:pPr>
        <w:jc w:val="center"/>
      </w:pPr>
      <w:r w:rsidRPr="00C36377">
        <w:t>**********</w:t>
      </w:r>
    </w:p>
    <w:p w:rsidR="000E7B1C" w:rsidRPr="000E7B1C" w:rsidRDefault="000E7B1C" w:rsidP="00B9268B">
      <w:pPr>
        <w:jc w:val="both"/>
      </w:pPr>
    </w:p>
    <w:p w:rsidR="00540749" w:rsidRDefault="00540749" w:rsidP="00540749">
      <w:pPr>
        <w:jc w:val="both"/>
        <w:rPr>
          <w:rFonts w:eastAsia="MS Mincho"/>
          <w:b/>
          <w:bCs/>
          <w:lang w:val="en-US" w:eastAsia="ja-JP"/>
        </w:rPr>
      </w:pPr>
      <w:r>
        <w:rPr>
          <w:rFonts w:eastAsia="MS Mincho" w:hint="eastAsia"/>
          <w:b/>
          <w:bCs/>
          <w:lang w:val="en-US" w:eastAsia="ja-JP"/>
        </w:rPr>
        <w:t>Brief on the Asset Monetization Program of POWERGRID (Power Grid Corporation of India Ltd):</w:t>
      </w:r>
    </w:p>
    <w:p w:rsidR="00540749" w:rsidRDefault="00540749" w:rsidP="00540749">
      <w:pPr>
        <w:jc w:val="both"/>
        <w:rPr>
          <w:rFonts w:eastAsia="MS Mincho"/>
          <w:b/>
          <w:bCs/>
          <w:lang w:val="en-US" w:eastAsia="ja-JP"/>
        </w:rPr>
      </w:pPr>
    </w:p>
    <w:p w:rsidR="00540749" w:rsidRPr="009E07DB" w:rsidRDefault="00540749" w:rsidP="005407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E07DB">
        <w:rPr>
          <w:rFonts w:ascii="Times New Roman" w:hAnsi="Times New Roman" w:cs="Times New Roman"/>
          <w:sz w:val="22"/>
          <w:szCs w:val="22"/>
        </w:rPr>
        <w:t xml:space="preserve">As per National Monetization Pipeline, Vol-II issued by NITI Aayog, assets across various infrastructure sector amounting to </w:t>
      </w:r>
      <w:r w:rsidRPr="009E07DB">
        <w:rPr>
          <w:rFonts w:ascii="Times New Roman" w:hAnsi="Times New Roman" w:cs="Times New Roman"/>
          <w:b/>
          <w:bCs/>
          <w:sz w:val="22"/>
          <w:szCs w:val="22"/>
        </w:rPr>
        <w:t>USD 81 Billion</w:t>
      </w:r>
      <w:r w:rsidRPr="009E07DB">
        <w:rPr>
          <w:rFonts w:ascii="Times New Roman" w:hAnsi="Times New Roman" w:cs="Times New Roman"/>
          <w:sz w:val="22"/>
          <w:szCs w:val="22"/>
        </w:rPr>
        <w:t xml:space="preserve"> are to be monetized. Out of which, </w:t>
      </w:r>
      <w:r w:rsidRPr="009E07DB">
        <w:rPr>
          <w:rFonts w:ascii="Times New Roman" w:hAnsi="Times New Roman" w:cs="Times New Roman"/>
          <w:b/>
          <w:bCs/>
          <w:sz w:val="22"/>
          <w:szCs w:val="22"/>
        </w:rPr>
        <w:t>USD 6.1</w:t>
      </w:r>
      <w:r w:rsidRPr="009E07DB">
        <w:rPr>
          <w:rFonts w:ascii="Times New Roman" w:hAnsi="Times New Roman" w:cs="Times New Roman"/>
          <w:b/>
          <w:bCs/>
          <w:sz w:val="22"/>
          <w:szCs w:val="22"/>
          <w:lang w:eastAsia="ja-JP"/>
        </w:rPr>
        <w:t>2</w:t>
      </w:r>
      <w:r w:rsidRPr="009E07DB">
        <w:rPr>
          <w:rFonts w:ascii="Times New Roman" w:hAnsi="Times New Roman" w:cs="Times New Roman"/>
          <w:b/>
          <w:bCs/>
          <w:sz w:val="22"/>
          <w:szCs w:val="22"/>
        </w:rPr>
        <w:t xml:space="preserve"> Billion</w:t>
      </w:r>
      <w:r w:rsidRPr="009E07DB">
        <w:rPr>
          <w:rFonts w:ascii="Times New Roman" w:hAnsi="Times New Roman" w:cs="Times New Roman"/>
          <w:sz w:val="22"/>
          <w:szCs w:val="22"/>
        </w:rPr>
        <w:t xml:space="preserve"> pertains to Power Transmission (Assets of Power Grid Corporation of India Ltd.). </w:t>
      </w:r>
    </w:p>
    <w:p w:rsidR="00540749" w:rsidRPr="009E07DB" w:rsidRDefault="00540749" w:rsidP="00540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9E07DB">
        <w:rPr>
          <w:rFonts w:ascii="Times New Roman" w:hAnsi="Times New Roman" w:cs="Times New Roman"/>
          <w:bCs/>
          <w:sz w:val="22"/>
          <w:szCs w:val="22"/>
        </w:rPr>
        <w:t xml:space="preserve">POWERGRID created Infrastructure Investment Trust PG InvIT on 07Jan 2021. </w:t>
      </w:r>
    </w:p>
    <w:p w:rsidR="00540749" w:rsidRPr="009E07DB" w:rsidRDefault="00540749" w:rsidP="00540749">
      <w:pPr>
        <w:pStyle w:val="ListParagraph"/>
        <w:rPr>
          <w:rFonts w:ascii="Times New Roman" w:hAnsi="Times New Roman" w:cs="Times New Roman"/>
          <w:sz w:val="22"/>
        </w:rPr>
      </w:pPr>
    </w:p>
    <w:p w:rsidR="00540749" w:rsidRPr="009E07DB" w:rsidRDefault="00540749" w:rsidP="00540749">
      <w:pPr>
        <w:jc w:val="both"/>
        <w:rPr>
          <w:b/>
          <w:bCs/>
          <w:sz w:val="22"/>
          <w:szCs w:val="22"/>
          <w:lang w:eastAsia="ja-JP"/>
        </w:rPr>
      </w:pPr>
      <w:r w:rsidRPr="009E07DB">
        <w:rPr>
          <w:b/>
          <w:bCs/>
          <w:sz w:val="22"/>
          <w:szCs w:val="22"/>
        </w:rPr>
        <w:t>1st Round of Monetization</w:t>
      </w:r>
      <w:r w:rsidRPr="009E07DB">
        <w:rPr>
          <w:b/>
          <w:bCs/>
          <w:sz w:val="22"/>
          <w:szCs w:val="22"/>
        </w:rPr>
        <w:tab/>
        <w:t>: USD 1.05 Bn(FY 21-22)</w:t>
      </w:r>
      <w:r w:rsidRPr="009E07DB">
        <w:rPr>
          <w:b/>
          <w:bCs/>
          <w:sz w:val="22"/>
          <w:szCs w:val="22"/>
        </w:rPr>
        <w:tab/>
        <w:t>: Completed in May’21</w:t>
      </w:r>
    </w:p>
    <w:p w:rsidR="00540749" w:rsidRPr="009E07DB" w:rsidRDefault="00540749" w:rsidP="00540749">
      <w:pPr>
        <w:pStyle w:val="ListParagraph"/>
        <w:ind w:left="0"/>
        <w:jc w:val="both"/>
        <w:rPr>
          <w:rFonts w:ascii="Times New Roman" w:hAnsi="Times New Roman" w:cs="Times New Roman"/>
          <w:bCs/>
          <w:sz w:val="22"/>
          <w:szCs w:val="22"/>
          <w:lang w:eastAsia="ja-JP"/>
        </w:rPr>
      </w:pPr>
      <w:r w:rsidRPr="009E07DB">
        <w:rPr>
          <w:rFonts w:ascii="Times New Roman" w:hAnsi="Times New Roman" w:cs="Times New Roman"/>
          <w:sz w:val="22"/>
          <w:szCs w:val="22"/>
          <w:lang w:eastAsia="ja-JP"/>
        </w:rPr>
        <w:t xml:space="preserve"> Main foreign investors in the first round: </w:t>
      </w:r>
      <w:r w:rsidRPr="009E07DB">
        <w:rPr>
          <w:rFonts w:ascii="Times New Roman" w:hAnsi="Times New Roman" w:cs="Times New Roman"/>
          <w:bCs/>
          <w:sz w:val="22"/>
          <w:szCs w:val="22"/>
          <w:lang w:eastAsia="ja-JP"/>
        </w:rPr>
        <w:t>CPPIB (Canada Pension Plan Investment Board), Capital Group, Fidelity, Schroders, Utilico, Matthews, CIM Investment</w:t>
      </w:r>
    </w:p>
    <w:p w:rsidR="00540749" w:rsidRPr="009E07DB" w:rsidRDefault="00540749" w:rsidP="00540749">
      <w:pPr>
        <w:pStyle w:val="ListParagraph"/>
        <w:ind w:left="0"/>
        <w:jc w:val="both"/>
        <w:rPr>
          <w:rFonts w:ascii="Times New Roman" w:hAnsi="Times New Roman" w:cs="Times New Roman"/>
          <w:bCs/>
          <w:sz w:val="22"/>
          <w:szCs w:val="22"/>
          <w:lang w:eastAsia="ja-JP"/>
        </w:rPr>
      </w:pPr>
      <w:r w:rsidRPr="009E07DB">
        <w:rPr>
          <w:rFonts w:ascii="Times New Roman" w:hAnsi="Times New Roman" w:cs="Times New Roman"/>
          <w:sz w:val="22"/>
          <w:szCs w:val="22"/>
          <w:lang w:eastAsia="ja-JP"/>
        </w:rPr>
        <w:t xml:space="preserve"> Other major investors (in public offer): </w:t>
      </w:r>
      <w:r w:rsidRPr="009E07DB">
        <w:rPr>
          <w:rFonts w:ascii="Times New Roman" w:hAnsi="Times New Roman" w:cs="Times New Roman"/>
          <w:bCs/>
          <w:sz w:val="22"/>
          <w:szCs w:val="22"/>
          <w:lang w:eastAsia="ja-JP"/>
        </w:rPr>
        <w:t>- Citigroup, BNP Paribas, Morgan Stanley</w:t>
      </w:r>
    </w:p>
    <w:p w:rsidR="00540749" w:rsidRPr="009E07DB" w:rsidRDefault="00540749" w:rsidP="00540749">
      <w:pPr>
        <w:pStyle w:val="ListParagraph"/>
        <w:ind w:left="0"/>
        <w:jc w:val="both"/>
        <w:rPr>
          <w:rFonts w:ascii="Times New Roman" w:hAnsi="Times New Roman" w:cs="Times New Roman"/>
          <w:bCs/>
          <w:sz w:val="22"/>
          <w:szCs w:val="22"/>
          <w:lang w:eastAsia="ja-JP"/>
        </w:rPr>
      </w:pPr>
    </w:p>
    <w:p w:rsidR="00540749" w:rsidRPr="009E07DB" w:rsidRDefault="00540749" w:rsidP="00540749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2"/>
          <w:szCs w:val="22"/>
          <w:lang w:eastAsia="ja-JP"/>
        </w:rPr>
      </w:pPr>
      <w:r w:rsidRPr="009E07DB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9E07DB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nd</w:t>
      </w:r>
      <w:r w:rsidRPr="009E07DB">
        <w:rPr>
          <w:rFonts w:ascii="Times New Roman" w:hAnsi="Times New Roman" w:cs="Times New Roman"/>
          <w:b/>
          <w:bCs/>
          <w:sz w:val="22"/>
          <w:szCs w:val="22"/>
        </w:rPr>
        <w:t xml:space="preserve"> Round of Monetization</w:t>
      </w:r>
      <w:r w:rsidRPr="009E07DB">
        <w:rPr>
          <w:rFonts w:ascii="Times New Roman" w:hAnsi="Times New Roman" w:cs="Times New Roman"/>
          <w:b/>
          <w:bCs/>
          <w:sz w:val="22"/>
          <w:szCs w:val="22"/>
        </w:rPr>
        <w:tab/>
        <w:t>: USD 1.01 Bn(FY 22-23</w:t>
      </w:r>
      <w:r w:rsidRPr="009E07DB">
        <w:rPr>
          <w:rFonts w:ascii="Times New Roman" w:hAnsi="Times New Roman" w:cs="Times New Roman"/>
          <w:b/>
          <w:bCs/>
          <w:sz w:val="22"/>
          <w:szCs w:val="22"/>
          <w:lang w:eastAsia="ja-JP"/>
        </w:rPr>
        <w:t>)</w:t>
      </w:r>
      <w:r w:rsidRPr="009E07DB">
        <w:rPr>
          <w:rFonts w:ascii="Times New Roman" w:hAnsi="Times New Roman" w:cs="Times New Roman"/>
          <w:b/>
          <w:bCs/>
          <w:sz w:val="22"/>
          <w:szCs w:val="22"/>
        </w:rPr>
        <w:tab/>
        <w:t>:</w:t>
      </w:r>
      <w:r w:rsidRPr="009E07DB">
        <w:rPr>
          <w:rFonts w:ascii="Times New Roman" w:hAnsi="Times New Roman" w:cs="Times New Roman"/>
          <w:b/>
          <w:bCs/>
          <w:sz w:val="22"/>
          <w:szCs w:val="22"/>
        </w:rPr>
        <w:tab/>
        <w:t>Preparatory work started.</w:t>
      </w:r>
    </w:p>
    <w:p w:rsidR="00540749" w:rsidRPr="009E07DB" w:rsidRDefault="00540749" w:rsidP="00540749">
      <w:pPr>
        <w:pStyle w:val="ListParagraph"/>
        <w:ind w:left="0"/>
        <w:jc w:val="center"/>
        <w:rPr>
          <w:sz w:val="22"/>
        </w:rPr>
      </w:pPr>
      <w:r w:rsidRPr="009E07DB">
        <w:rPr>
          <w:rFonts w:ascii="Arial" w:hAnsi="Arial" w:cs="Arial"/>
          <w:b/>
          <w:bCs/>
          <w:sz w:val="22"/>
          <w:szCs w:val="22"/>
        </w:rPr>
        <w:t>**************************</w:t>
      </w:r>
    </w:p>
    <w:p w:rsidR="00540749" w:rsidRDefault="00540749" w:rsidP="00540749">
      <w:pPr>
        <w:pStyle w:val="ListParagraph"/>
        <w:ind w:left="0"/>
        <w:jc w:val="both"/>
        <w:rPr>
          <w:rFonts w:ascii="Arial" w:hAnsi="Arial" w:cs="Arial"/>
          <w:szCs w:val="22"/>
          <w:lang w:eastAsia="ja-JP"/>
        </w:rPr>
      </w:pPr>
    </w:p>
    <w:p w:rsidR="00540749" w:rsidRPr="00213DA2" w:rsidRDefault="00540749" w:rsidP="00540749">
      <w:pPr>
        <w:pStyle w:val="ListParagraph"/>
        <w:ind w:left="0"/>
        <w:jc w:val="both"/>
        <w:rPr>
          <w:rFonts w:ascii="Arial" w:hAnsi="Arial" w:cs="Arial"/>
          <w:szCs w:val="22"/>
          <w:lang w:eastAsia="ja-JP"/>
        </w:rPr>
      </w:pPr>
    </w:p>
    <w:p w:rsidR="00540749" w:rsidRDefault="00540749" w:rsidP="00540749">
      <w:pPr>
        <w:pStyle w:val="ListParagraph"/>
        <w:jc w:val="both"/>
        <w:rPr>
          <w:rFonts w:ascii="Arial" w:hAnsi="Arial" w:cs="Arial"/>
          <w:szCs w:val="22"/>
          <w:lang w:eastAsia="ja-JP"/>
        </w:rPr>
      </w:pPr>
    </w:p>
    <w:p w:rsidR="00540749" w:rsidRPr="00540749" w:rsidRDefault="00540749" w:rsidP="00540749">
      <w:pPr>
        <w:jc w:val="both"/>
        <w:rPr>
          <w:rFonts w:eastAsia="MS Mincho"/>
          <w:b/>
          <w:bCs/>
          <w:lang w:eastAsia="ja-JP"/>
        </w:rPr>
      </w:pPr>
    </w:p>
    <w:p w:rsidR="00C24832" w:rsidRPr="00540749" w:rsidRDefault="00C24832" w:rsidP="00B9268B">
      <w:pPr>
        <w:jc w:val="both"/>
        <w:rPr>
          <w:rFonts w:eastAsia="MS Mincho"/>
          <w:lang w:val="en-US" w:eastAsia="ja-JP"/>
        </w:rPr>
      </w:pPr>
    </w:p>
    <w:p w:rsidR="00D73965" w:rsidRDefault="00D73965" w:rsidP="00B9268B">
      <w:pPr>
        <w:jc w:val="both"/>
        <w:rPr>
          <w:lang w:val="en-US"/>
        </w:rPr>
      </w:pPr>
    </w:p>
    <w:p w:rsidR="00D73965" w:rsidRPr="00225580" w:rsidRDefault="00D73965" w:rsidP="00B9268B">
      <w:pPr>
        <w:jc w:val="both"/>
        <w:rPr>
          <w:lang w:val="en-US"/>
        </w:rPr>
      </w:pPr>
    </w:p>
    <w:sectPr w:rsidR="00D73965" w:rsidRPr="00225580" w:rsidSect="00114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072" w:rsidRDefault="00852072" w:rsidP="002E6274">
      <w:r>
        <w:separator/>
      </w:r>
    </w:p>
  </w:endnote>
  <w:endnote w:type="continuationSeparator" w:id="1">
    <w:p w:rsidR="00852072" w:rsidRDefault="00852072" w:rsidP="002E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072" w:rsidRDefault="00852072" w:rsidP="002E6274">
      <w:r>
        <w:separator/>
      </w:r>
    </w:p>
  </w:footnote>
  <w:footnote w:type="continuationSeparator" w:id="1">
    <w:p w:rsidR="00852072" w:rsidRDefault="00852072" w:rsidP="002E62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7D2C"/>
    <w:multiLevelType w:val="multilevel"/>
    <w:tmpl w:val="7382D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2E21CA"/>
    <w:multiLevelType w:val="multilevel"/>
    <w:tmpl w:val="13506C8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5580"/>
    <w:rsid w:val="0002522F"/>
    <w:rsid w:val="000E7B1C"/>
    <w:rsid w:val="00114B95"/>
    <w:rsid w:val="001C2CB0"/>
    <w:rsid w:val="00225580"/>
    <w:rsid w:val="00225CB4"/>
    <w:rsid w:val="002917CB"/>
    <w:rsid w:val="002E6274"/>
    <w:rsid w:val="002F6B2B"/>
    <w:rsid w:val="003D766F"/>
    <w:rsid w:val="00515FD4"/>
    <w:rsid w:val="005274E4"/>
    <w:rsid w:val="00540749"/>
    <w:rsid w:val="005B6809"/>
    <w:rsid w:val="005C1EC0"/>
    <w:rsid w:val="006074B7"/>
    <w:rsid w:val="006573CB"/>
    <w:rsid w:val="00740183"/>
    <w:rsid w:val="00821D26"/>
    <w:rsid w:val="00852072"/>
    <w:rsid w:val="008B3271"/>
    <w:rsid w:val="009E07DB"/>
    <w:rsid w:val="009F3BC0"/>
    <w:rsid w:val="00A36F47"/>
    <w:rsid w:val="00B9268B"/>
    <w:rsid w:val="00BA1A20"/>
    <w:rsid w:val="00C24832"/>
    <w:rsid w:val="00C36377"/>
    <w:rsid w:val="00C55A0D"/>
    <w:rsid w:val="00D73965"/>
    <w:rsid w:val="00E13B2D"/>
    <w:rsid w:val="00EE45C8"/>
    <w:rsid w:val="00EF0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A20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D766F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E62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274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E62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274"/>
    <w:rPr>
      <w:rFonts w:ascii="Times New Roman" w:eastAsia="Times New Roman" w:hAnsi="Times New Roman" w:cs="Times New Roman"/>
      <w:lang w:eastAsia="en-GB"/>
    </w:rPr>
  </w:style>
  <w:style w:type="character" w:customStyle="1" w:styleId="ListParagraphChar">
    <w:name w:val="List Paragraph Char"/>
    <w:link w:val="ListParagraph"/>
    <w:uiPriority w:val="34"/>
    <w:qFormat/>
    <w:locked/>
    <w:rsid w:val="00540749"/>
    <w:rPr>
      <w:rFonts w:cs="Mangal"/>
    </w:rPr>
  </w:style>
  <w:style w:type="paragraph" w:styleId="ListParagraph">
    <w:name w:val="List Paragraph"/>
    <w:basedOn w:val="Normal"/>
    <w:link w:val="ListParagraphChar"/>
    <w:uiPriority w:val="34"/>
    <w:qFormat/>
    <w:rsid w:val="00540749"/>
    <w:pPr>
      <w:spacing w:after="160" w:line="259" w:lineRule="auto"/>
      <w:ind w:left="720"/>
      <w:contextualSpacing/>
    </w:pPr>
    <w:rPr>
      <w:rFonts w:asciiTheme="minorHAnsi" w:eastAsia="MS Mincho" w:hAnsiTheme="minorHAnsi" w:cs="Mang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2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3</cp:revision>
  <cp:lastPrinted>2021-09-09T04:57:00Z</cp:lastPrinted>
  <dcterms:created xsi:type="dcterms:W3CDTF">2021-11-01T06:51:00Z</dcterms:created>
  <dcterms:modified xsi:type="dcterms:W3CDTF">2021-11-01T06:55:00Z</dcterms:modified>
</cp:coreProperties>
</file>